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301E" w14:textId="2C1B0394" w:rsidR="00545FA0" w:rsidRPr="00730B6B" w:rsidRDefault="000908DE" w:rsidP="00730B6B">
      <w:pPr>
        <w:spacing w:line="240" w:lineRule="auto"/>
        <w:jc w:val="center"/>
        <w:rPr>
          <w:rFonts w:ascii="Microsoft JhengHei UI" w:eastAsia="Microsoft JhengHei UI" w:hAnsi="Microsoft JhengHei UI" w:cs="Microsoft JhengHei"/>
          <w:b/>
          <w:bCs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b/>
          <w:bCs/>
          <w:lang w:eastAsia="zh-CN"/>
        </w:rPr>
        <w:t>美国自然资源保护局</w:t>
      </w:r>
      <w:r w:rsidRPr="00730B6B">
        <w:rPr>
          <w:rFonts w:ascii="Microsoft JhengHei UI" w:eastAsia="Microsoft JhengHei UI" w:hAnsi="Microsoft JhengHei UI"/>
          <w:b/>
          <w:bCs/>
          <w:lang w:eastAsia="zh-CN"/>
        </w:rPr>
        <w:t xml:space="preserve"> (NRCS) </w:t>
      </w:r>
      <w:r w:rsidRPr="00730B6B">
        <w:rPr>
          <w:rFonts w:ascii="Microsoft JhengHei UI" w:eastAsia="Microsoft JhengHei UI" w:hAnsi="Microsoft JhengHei UI" w:cs="Microsoft YaHei" w:hint="eastAsia"/>
          <w:b/>
          <w:bCs/>
          <w:lang w:eastAsia="zh-CN"/>
        </w:rPr>
        <w:t>对高架温室系统的要求</w:t>
      </w:r>
    </w:p>
    <w:p w14:paraId="09F9EB2D" w14:textId="7B3901DF" w:rsidR="00EB1534" w:rsidRPr="00730B6B" w:rsidRDefault="00EB1534" w:rsidP="00730B6B">
      <w:pPr>
        <w:spacing w:line="240" w:lineRule="auto"/>
        <w:jc w:val="center"/>
        <w:rPr>
          <w:rFonts w:ascii="Microsoft JhengHei UI" w:eastAsia="Microsoft JhengHei UI" w:hAnsi="Microsoft JhengHei UI" w:cs="Microsoft JhengHei"/>
        </w:rPr>
      </w:pPr>
      <w:r w:rsidRPr="00730B6B">
        <w:rPr>
          <w:rFonts w:ascii="Microsoft JhengHei UI" w:eastAsia="Microsoft JhengHei UI" w:hAnsi="Microsoft JhengHei UI" w:cs="Microsoft JhengHei"/>
          <w:noProof/>
        </w:rPr>
        <w:drawing>
          <wp:inline distT="0" distB="0" distL="0" distR="0" wp14:anchorId="41FF57C6" wp14:editId="6788D0CE">
            <wp:extent cx="2681605" cy="1508117"/>
            <wp:effectExtent l="0" t="0" r="4445" b="0"/>
            <wp:docPr id="409886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71" cy="152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BDB6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b/>
          <w:bCs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b/>
          <w:bCs/>
          <w:lang w:eastAsia="zh-CN"/>
        </w:rPr>
        <w:t>一般要求（</w:t>
      </w:r>
      <w:r w:rsidRPr="00730B6B">
        <w:rPr>
          <w:rFonts w:ascii="Microsoft JhengHei UI" w:eastAsia="Microsoft JhengHei UI" w:hAnsi="Microsoft JhengHei UI"/>
          <w:b/>
          <w:bCs/>
          <w:lang w:eastAsia="zh-CN"/>
        </w:rPr>
        <w:t>General Requirements</w:t>
      </w:r>
      <w:r w:rsidRPr="00730B6B">
        <w:rPr>
          <w:rFonts w:ascii="Microsoft JhengHei UI" w:eastAsia="Microsoft JhengHei UI" w:hAnsi="Microsoft JhengHei UI" w:cs="Microsoft YaHei" w:hint="eastAsia"/>
          <w:b/>
          <w:bCs/>
          <w:lang w:eastAsia="zh-CN"/>
        </w:rPr>
        <w:t>）</w:t>
      </w:r>
    </w:p>
    <w:p w14:paraId="493532FD" w14:textId="6FC0FD50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高拱棚（</w:t>
      </w:r>
      <w:r w:rsidRPr="00730B6B">
        <w:rPr>
          <w:rFonts w:ascii="Microsoft JhengHei UI" w:eastAsia="Microsoft JhengHei UI" w:hAnsi="Microsoft JhengHei UI"/>
          <w:lang w:eastAsia="zh-CN"/>
        </w:rPr>
        <w:t>High Tunnel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）系统结构必须采用制造商成套生产的标准化套件进行规划、设计与施工，并严格遵循制造商的技术建议。安装位置应位于水平地面或坡度不超过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5%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的自然坡地。</w:t>
      </w:r>
    </w:p>
    <w:p w14:paraId="1DE93F91" w14:textId="77777777" w:rsidR="00730B6B" w:rsidRPr="00730B6B" w:rsidRDefault="00730B6B" w:rsidP="00730B6B">
      <w:pPr>
        <w:pStyle w:val="ListParagraph"/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7A8285A9" w14:textId="19CA0474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高拱棚主体框架应由金属、木材或耐用塑料材料建造，且结构最高点高度不得低于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6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英尺（约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1.8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米）。</w:t>
      </w:r>
    </w:p>
    <w:p w14:paraId="7B61B24F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1AACDDAF" w14:textId="77777777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高拱棚覆盖材料应具备足够厚度，能够在规定使用期限内承受温度变化，且最低使用寿命不少于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4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年。聚乙烯覆盖材料须为不低于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6 mil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的温室级、具备抗紫外线（</w:t>
      </w:r>
      <w:r w:rsidRPr="00730B6B">
        <w:rPr>
          <w:rFonts w:ascii="Microsoft JhengHei UI" w:eastAsia="Microsoft JhengHei UI" w:hAnsi="Microsoft JhengHei UI"/>
          <w:lang w:eastAsia="zh-CN"/>
        </w:rPr>
        <w:t>UV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）性能的产品。</w:t>
      </w:r>
    </w:p>
    <w:p w14:paraId="12DCD370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7B8ACD05" w14:textId="77777777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若因施工导致高拱棚外缘土壤表面受到扰动，应对受扰动区域实施植被恢复措施，或使用木屑覆盖物进行覆盖处理。</w:t>
      </w:r>
    </w:p>
    <w:p w14:paraId="70703745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3933B32E" w14:textId="77777777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应以不产生侵蚀的方式将地表径流引导远离高拱棚结构，防止棚体周边形成积水。</w:t>
      </w:r>
    </w:p>
    <w:p w14:paraId="28F18519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1150B365" w14:textId="74699455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作物必须种植于自然土壤剖面中。允许设置高畦（</w:t>
      </w:r>
      <w:r w:rsidRPr="00730B6B">
        <w:rPr>
          <w:rFonts w:ascii="Microsoft JhengHei UI" w:eastAsia="Microsoft JhengHei UI" w:hAnsi="Microsoft JhengHei UI"/>
          <w:lang w:eastAsia="zh-CN"/>
        </w:rPr>
        <w:t>Raised Beds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），但其高度不得超过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12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英寸（约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30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厘米）。</w:t>
      </w:r>
    </w:p>
    <w:p w14:paraId="09816150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64D0FD5D" w14:textId="77777777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高拱棚不得用于牲畜的遮蔽、饲养，亦不得用于存放物资或农业机械设备。</w:t>
      </w:r>
    </w:p>
    <w:p w14:paraId="189CCD34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211AE652" w14:textId="77777777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在存在较大风荷载风险的区域，应选用经制造商设计并可承受预期风荷载的棚膜及结构系统，或通过合理管理措施降低风害风险。</w:t>
      </w:r>
    </w:p>
    <w:p w14:paraId="585B7AB3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41E8A957" w14:textId="77777777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对高拱棚结构设计进行的重大变更，须在施工前取得制造商书面确认与批准，并由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NRCS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技术人员审查，以确保相关质保条款继续有效。</w:t>
      </w:r>
    </w:p>
    <w:p w14:paraId="60D2AF64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24134BAC" w14:textId="4EEBAA14" w:rsidR="00730B6B" w:rsidRPr="00730B6B" w:rsidRDefault="00730B6B" w:rsidP="00730B6B">
      <w:pPr>
        <w:pStyle w:val="ListParagraph"/>
        <w:numPr>
          <w:ilvl w:val="0"/>
          <w:numId w:val="3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申请人须提供满足项目要求的相关文件资料，包括但不限于：包含套件部件清单的收据或发票、替换部件的相关证明文件、设计变更的书面批准文件等。</w:t>
      </w:r>
    </w:p>
    <w:p w14:paraId="134ACC72" w14:textId="1C31F592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3791E56A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b/>
          <w:bCs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b/>
          <w:bCs/>
          <w:lang w:eastAsia="zh-CN"/>
        </w:rPr>
        <w:t>运行与维护（</w:t>
      </w:r>
      <w:r w:rsidRPr="00730B6B">
        <w:rPr>
          <w:rFonts w:ascii="Microsoft JhengHei UI" w:eastAsia="Microsoft JhengHei UI" w:hAnsi="Microsoft JhengHei UI"/>
          <w:b/>
          <w:bCs/>
          <w:lang w:eastAsia="zh-CN"/>
        </w:rPr>
        <w:t>Operation and Maintenance</w:t>
      </w:r>
      <w:r w:rsidRPr="00730B6B">
        <w:rPr>
          <w:rFonts w:ascii="Microsoft JhengHei UI" w:eastAsia="Microsoft JhengHei UI" w:hAnsi="Microsoft JhengHei UI" w:cs="Microsoft YaHei" w:hint="eastAsia"/>
          <w:b/>
          <w:bCs/>
          <w:lang w:eastAsia="zh-CN"/>
        </w:rPr>
        <w:t>）</w:t>
      </w:r>
    </w:p>
    <w:p w14:paraId="47EA283A" w14:textId="1C0223D4" w:rsidR="00730B6B" w:rsidRPr="00730B6B" w:rsidRDefault="00730B6B" w:rsidP="00730B6B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申请人应定期对高拱棚进行检查与维护，并根据需要对部件进行维修、重新安装或更换，以确保其实现预期功能。高拱棚的预期使用年限为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5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年，在该期限内进行的任何维修或部件更换，均应确保结构在整个</w:t>
      </w:r>
      <w:r w:rsidRPr="00730B6B">
        <w:rPr>
          <w:rFonts w:ascii="Microsoft JhengHei UI" w:eastAsia="Microsoft JhengHei UI" w:hAnsi="Microsoft JhengHei UI"/>
          <w:lang w:eastAsia="zh-CN"/>
        </w:rPr>
        <w:t xml:space="preserve"> 5 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年期间持续发挥作用。</w:t>
      </w:r>
    </w:p>
    <w:p w14:paraId="45C0A23C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6B667D1F" w14:textId="698F11FE" w:rsidR="00730B6B" w:rsidRPr="00730B6B" w:rsidRDefault="00730B6B" w:rsidP="00730B6B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应通过合理管理方式降低风害及</w:t>
      </w:r>
      <w:r w:rsidRPr="00730B6B">
        <w:rPr>
          <w:rFonts w:ascii="Microsoft JhengHei UI" w:eastAsia="Microsoft JhengHei UI" w:hAnsi="Microsoft JhengHei UI"/>
          <w:lang w:eastAsia="zh-CN"/>
        </w:rPr>
        <w:t>/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或雪害风险，包括但不限于：</w:t>
      </w:r>
    </w:p>
    <w:p w14:paraId="55DB0579" w14:textId="77777777" w:rsidR="00730B6B" w:rsidRPr="00730B6B" w:rsidRDefault="00730B6B" w:rsidP="00730B6B">
      <w:pPr>
        <w:numPr>
          <w:ilvl w:val="0"/>
          <w:numId w:val="1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在风暴天气来临前，关闭棚体侧墙及端墙；</w:t>
      </w:r>
    </w:p>
    <w:p w14:paraId="4E6DCC7F" w14:textId="77777777" w:rsidR="00730B6B" w:rsidRPr="00730B6B" w:rsidRDefault="00730B6B" w:rsidP="00730B6B">
      <w:pPr>
        <w:numPr>
          <w:ilvl w:val="0"/>
          <w:numId w:val="1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在存在降雪或结冰风险的地区，于冬季天气来临前关闭棚体；</w:t>
      </w:r>
    </w:p>
    <w:p w14:paraId="6503428D" w14:textId="4A74731F" w:rsidR="00730B6B" w:rsidRDefault="00730B6B" w:rsidP="00730B6B">
      <w:pPr>
        <w:numPr>
          <w:ilvl w:val="0"/>
          <w:numId w:val="1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及时清除棚膜及侧墙上的积雪和冰层，以防止结构损坏或失效。</w:t>
      </w:r>
    </w:p>
    <w:p w14:paraId="44BDA391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60E58015" w14:textId="77777777" w:rsidR="00730B6B" w:rsidRPr="00730B6B" w:rsidRDefault="00730B6B" w:rsidP="00730B6B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如有需要，应对高拱棚外所有受扰动地表实施播种或覆盖覆盖物，并在高拱棚使用期限内持续维护相关植被或覆盖措施。</w:t>
      </w:r>
    </w:p>
    <w:p w14:paraId="2E29AC8B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5C86F911" w14:textId="77777777" w:rsidR="00730B6B" w:rsidRPr="00730B6B" w:rsidRDefault="00730B6B" w:rsidP="00730B6B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覆盖材料的拆除应符合项目设计目的及现场实际条件。</w:t>
      </w:r>
    </w:p>
    <w:p w14:paraId="01F73D3B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6BED64C0" w14:textId="77777777" w:rsidR="00730B6B" w:rsidRPr="00730B6B" w:rsidRDefault="00730B6B" w:rsidP="00730B6B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在高拱棚周边或内部操作农业设备时，不得影响高拱棚结构或覆盖材料的预期功能与完整性。</w:t>
      </w:r>
    </w:p>
    <w:p w14:paraId="31055DDB" w14:textId="77777777" w:rsidR="00730B6B" w:rsidRPr="00730B6B" w:rsidRDefault="00730B6B" w:rsidP="00730B6B">
      <w:p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</w:p>
    <w:p w14:paraId="7877524F" w14:textId="58E88970" w:rsidR="00730B6B" w:rsidRPr="00730B6B" w:rsidRDefault="00730B6B" w:rsidP="00730B6B">
      <w:pPr>
        <w:pStyle w:val="ListParagraph"/>
        <w:numPr>
          <w:ilvl w:val="0"/>
          <w:numId w:val="5"/>
        </w:numPr>
        <w:spacing w:after="0" w:line="240" w:lineRule="auto"/>
        <w:rPr>
          <w:rFonts w:ascii="Microsoft JhengHei UI" w:eastAsia="Microsoft JhengHei UI" w:hAnsi="Microsoft JhengHei UI"/>
          <w:lang w:eastAsia="zh-CN"/>
        </w:rPr>
      </w:pP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应定期监测高拱棚系统内土壤状况，重点关注盐分积累情况及土壤盐度（电导率，</w:t>
      </w:r>
      <w:r w:rsidRPr="00730B6B">
        <w:rPr>
          <w:rFonts w:ascii="Microsoft JhengHei UI" w:eastAsia="Microsoft JhengHei UI" w:hAnsi="Microsoft JhengHei UI"/>
          <w:lang w:eastAsia="zh-CN"/>
        </w:rPr>
        <w:t>EC</w:t>
      </w:r>
      <w:r w:rsidRPr="00730B6B">
        <w:rPr>
          <w:rFonts w:ascii="Microsoft JhengHei UI" w:eastAsia="Microsoft JhengHei UI" w:hAnsi="Microsoft JhengHei UI" w:cs="Microsoft YaHei" w:hint="eastAsia"/>
          <w:lang w:eastAsia="zh-CN"/>
        </w:rPr>
        <w:t>）随时间变化的趋势。</w:t>
      </w:r>
    </w:p>
    <w:p w14:paraId="11484036" w14:textId="77777777" w:rsidR="000908DE" w:rsidRPr="00730B6B" w:rsidRDefault="000908DE" w:rsidP="00730B6B">
      <w:pPr>
        <w:spacing w:line="240" w:lineRule="auto"/>
        <w:rPr>
          <w:rFonts w:ascii="Microsoft JhengHei UI" w:eastAsia="Microsoft JhengHei UI" w:hAnsi="Microsoft JhengHei UI"/>
          <w:lang w:eastAsia="zh-CN"/>
        </w:rPr>
      </w:pPr>
    </w:p>
    <w:sectPr w:rsidR="000908DE" w:rsidRPr="0073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780C"/>
    <w:multiLevelType w:val="hybridMultilevel"/>
    <w:tmpl w:val="6C3C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362F2"/>
    <w:multiLevelType w:val="hybridMultilevel"/>
    <w:tmpl w:val="4216C652"/>
    <w:lvl w:ilvl="0" w:tplc="C3FADE00">
      <w:start w:val="1"/>
      <w:numFmt w:val="lowerLetter"/>
      <w:lvlText w:val="%1."/>
      <w:lvlJc w:val="left"/>
      <w:pPr>
        <w:ind w:left="720" w:hanging="360"/>
      </w:pPr>
      <w:rPr>
        <w:rFonts w:cs="Microsoft Ya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5077"/>
    <w:multiLevelType w:val="hybridMultilevel"/>
    <w:tmpl w:val="8A209654"/>
    <w:lvl w:ilvl="0" w:tplc="39DC34D8">
      <w:start w:val="1"/>
      <w:numFmt w:val="lowerLetter"/>
      <w:lvlText w:val="%1."/>
      <w:lvlJc w:val="left"/>
      <w:pPr>
        <w:ind w:left="720" w:hanging="360"/>
      </w:pPr>
      <w:rPr>
        <w:rFonts w:cs="Microsoft Ya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75E1"/>
    <w:multiLevelType w:val="multilevel"/>
    <w:tmpl w:val="FEC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353B2"/>
    <w:multiLevelType w:val="hybridMultilevel"/>
    <w:tmpl w:val="3690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742392">
    <w:abstractNumId w:val="3"/>
  </w:num>
  <w:num w:numId="2" w16cid:durableId="556820786">
    <w:abstractNumId w:val="4"/>
  </w:num>
  <w:num w:numId="3" w16cid:durableId="2132549836">
    <w:abstractNumId w:val="1"/>
  </w:num>
  <w:num w:numId="4" w16cid:durableId="1853228737">
    <w:abstractNumId w:val="0"/>
  </w:num>
  <w:num w:numId="5" w16cid:durableId="190541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DE"/>
    <w:rsid w:val="00012D4D"/>
    <w:rsid w:val="000908DE"/>
    <w:rsid w:val="00545FA0"/>
    <w:rsid w:val="00574F47"/>
    <w:rsid w:val="00663E30"/>
    <w:rsid w:val="00706FE7"/>
    <w:rsid w:val="00730B6B"/>
    <w:rsid w:val="007F0128"/>
    <w:rsid w:val="00811B0B"/>
    <w:rsid w:val="008442F1"/>
    <w:rsid w:val="00C704F9"/>
    <w:rsid w:val="00EB1534"/>
    <w:rsid w:val="00F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C2FE"/>
  <w15:chartTrackingRefBased/>
  <w15:docId w15:val="{BE19C7DC-31A2-4AAA-A6B9-D8157774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8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Britzman, Anna - FPAC-NRCS, CA</dc:creator>
  <cp:keywords/>
  <dc:description/>
  <cp:lastModifiedBy>Teddy Peng</cp:lastModifiedBy>
  <cp:revision>2</cp:revision>
  <dcterms:created xsi:type="dcterms:W3CDTF">2026-02-05T22:37:00Z</dcterms:created>
  <dcterms:modified xsi:type="dcterms:W3CDTF">2026-02-05T22:37:00Z</dcterms:modified>
</cp:coreProperties>
</file>